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0ECE2" w14:textId="77777777" w:rsidR="002E56C2" w:rsidRDefault="00141A14">
      <w:pPr>
        <w:tabs>
          <w:tab w:val="right" w:pos="9360"/>
        </w:tabs>
        <w:spacing w:after="0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EAP 507/508</w:t>
      </w:r>
      <w:r>
        <w:rPr>
          <w:rFonts w:ascii="Times New Roman" w:eastAsia="Times New Roman" w:hAnsi="Times New Roman" w:cs="Times New Roman"/>
        </w:rPr>
        <w:tab/>
        <w:t>Fall 2018</w:t>
      </w:r>
    </w:p>
    <w:p w14:paraId="2C5C6568" w14:textId="77777777" w:rsidR="002E56C2" w:rsidRDefault="00141A14">
      <w:pPr>
        <w:tabs>
          <w:tab w:val="right" w:pos="9360"/>
        </w:tabs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Doetsch-Kidder/Richardson</w:t>
      </w:r>
    </w:p>
    <w:p w14:paraId="6FAB0F4F" w14:textId="77777777" w:rsidR="002E56C2" w:rsidRDefault="002E56C2">
      <w:pPr>
        <w:tabs>
          <w:tab w:val="right" w:pos="9360"/>
        </w:tabs>
        <w:spacing w:after="0"/>
        <w:rPr>
          <w:rFonts w:ascii="Times New Roman" w:eastAsia="Times New Roman" w:hAnsi="Times New Roman" w:cs="Times New Roman"/>
        </w:rPr>
      </w:pPr>
    </w:p>
    <w:p w14:paraId="10774350" w14:textId="77777777" w:rsidR="002E56C2" w:rsidRDefault="00141A14">
      <w:pPr>
        <w:tabs>
          <w:tab w:val="right" w:pos="9360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Two class sequence focused on critical reading skills</w:t>
      </w:r>
    </w:p>
    <w:p w14:paraId="4A5E000C" w14:textId="77777777" w:rsidR="002E56C2" w:rsidRDefault="002E56C2">
      <w:pPr>
        <w:tabs>
          <w:tab w:val="right" w:pos="9360"/>
        </w:tabs>
        <w:spacing w:after="0"/>
        <w:rPr>
          <w:rFonts w:ascii="Times New Roman" w:eastAsia="Times New Roman" w:hAnsi="Times New Roman" w:cs="Times New Roman"/>
        </w:rPr>
      </w:pPr>
    </w:p>
    <w:tbl>
      <w:tblPr>
        <w:tblStyle w:val="a"/>
        <w:tblW w:w="9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529"/>
        <w:gridCol w:w="3079"/>
      </w:tblGrid>
      <w:tr w:rsidR="002E56C2" w14:paraId="3B8CDB77" w14:textId="77777777">
        <w:tc>
          <w:tcPr>
            <w:tcW w:w="2628" w:type="dxa"/>
          </w:tcPr>
          <w:p w14:paraId="133497BE" w14:textId="77777777" w:rsidR="002E56C2" w:rsidRDefault="00141A14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Topics</w:t>
            </w:r>
          </w:p>
        </w:tc>
        <w:tc>
          <w:tcPr>
            <w:tcW w:w="3529" w:type="dxa"/>
          </w:tcPr>
          <w:p w14:paraId="63ADFD28" w14:textId="77777777" w:rsidR="002E56C2" w:rsidRDefault="00141A14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Objectives</w:t>
            </w:r>
          </w:p>
        </w:tc>
        <w:tc>
          <w:tcPr>
            <w:tcW w:w="3079" w:type="dxa"/>
          </w:tcPr>
          <w:p w14:paraId="24D5DD05" w14:textId="77777777" w:rsidR="002E56C2" w:rsidRDefault="00141A14">
            <w:pPr>
              <w:tabs>
                <w:tab w:val="right" w:pos="9360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Materials</w:t>
            </w:r>
          </w:p>
        </w:tc>
      </w:tr>
      <w:tr w:rsidR="002E56C2" w14:paraId="39B6F271" w14:textId="77777777">
        <w:tc>
          <w:tcPr>
            <w:tcW w:w="2628" w:type="dxa"/>
          </w:tcPr>
          <w:p w14:paraId="25CC251F" w14:textId="77777777" w:rsidR="002E56C2" w:rsidRDefault="00141A14">
            <w:pPr>
              <w:numPr>
                <w:ilvl w:val="0"/>
                <w:numId w:val="6"/>
              </w:numPr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Reading Academic Articles</w:t>
            </w:r>
          </w:p>
          <w:p w14:paraId="23B8D547" w14:textId="77777777" w:rsidR="002E56C2" w:rsidRDefault="00141A14">
            <w:pPr>
              <w:numPr>
                <w:ilvl w:val="0"/>
                <w:numId w:val="6"/>
              </w:numPr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 Araujo (2011)</w:t>
            </w:r>
          </w:p>
          <w:p w14:paraId="04DAD56B" w14:textId="77777777" w:rsidR="002E56C2" w:rsidRDefault="00141A14">
            <w:pPr>
              <w:numPr>
                <w:ilvl w:val="0"/>
                <w:numId w:val="6"/>
              </w:numPr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Rhetorical Elements</w:t>
            </w:r>
          </w:p>
          <w:p w14:paraId="5A3A2E6E" w14:textId="77777777" w:rsidR="002E56C2" w:rsidRDefault="00141A14">
            <w:pPr>
              <w:numPr>
                <w:ilvl w:val="0"/>
                <w:numId w:val="6"/>
              </w:numPr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Annotating Academic Articles</w:t>
            </w:r>
          </w:p>
        </w:tc>
        <w:tc>
          <w:tcPr>
            <w:tcW w:w="3529" w:type="dxa"/>
          </w:tcPr>
          <w:p w14:paraId="05141386" w14:textId="77777777" w:rsidR="002E56C2" w:rsidRDefault="00141A14">
            <w:pPr>
              <w:numPr>
                <w:ilvl w:val="0"/>
                <w:numId w:val="6"/>
              </w:numPr>
              <w:tabs>
                <w:tab w:val="right" w:pos="9360"/>
              </w:tabs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Practice academic reading strategies</w:t>
            </w:r>
          </w:p>
          <w:p w14:paraId="6E3D9BD2" w14:textId="77777777" w:rsidR="002E56C2" w:rsidRDefault="00141A14">
            <w:pPr>
              <w:numPr>
                <w:ilvl w:val="0"/>
                <w:numId w:val="6"/>
              </w:numPr>
              <w:tabs>
                <w:tab w:val="right" w:pos="9360"/>
              </w:tabs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Discuss de Araujo’s synthesis of literature on international students’ adjustment issues</w:t>
            </w:r>
          </w:p>
          <w:p w14:paraId="4C8FC492" w14:textId="77777777" w:rsidR="002E56C2" w:rsidRDefault="00141A14">
            <w:pPr>
              <w:numPr>
                <w:ilvl w:val="0"/>
                <w:numId w:val="6"/>
              </w:numPr>
              <w:tabs>
                <w:tab w:val="right" w:pos="9360"/>
              </w:tabs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Identify rhetorical elements in a scholarly article</w:t>
            </w:r>
          </w:p>
          <w:p w14:paraId="4274E37D" w14:textId="77777777" w:rsidR="002E56C2" w:rsidRDefault="00141A14">
            <w:pPr>
              <w:numPr>
                <w:ilvl w:val="0"/>
                <w:numId w:val="6"/>
              </w:numPr>
              <w:tabs>
                <w:tab w:val="right" w:pos="9360"/>
              </w:tabs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Practice annotating in Adobe Acrobat reader</w:t>
            </w:r>
          </w:p>
        </w:tc>
        <w:tc>
          <w:tcPr>
            <w:tcW w:w="3079" w:type="dxa"/>
          </w:tcPr>
          <w:p w14:paraId="19481312" w14:textId="77777777" w:rsidR="002E56C2" w:rsidRDefault="00141A1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60"/>
              </w:tabs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Bb: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homework instructions</w:t>
            </w:r>
          </w:p>
          <w:p w14:paraId="7D105926" w14:textId="77777777" w:rsidR="002E56C2" w:rsidRDefault="00141A1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60"/>
              </w:tabs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on scree</w:t>
            </w:r>
            <w:r>
              <w:rPr>
                <w:rFonts w:ascii="Times New Roman" w:eastAsia="Times New Roman" w:hAnsi="Times New Roman" w:cs="Times New Roman"/>
                <w:i/>
              </w:rPr>
              <w:t>n:</w:t>
            </w:r>
            <w:r>
              <w:rPr>
                <w:rFonts w:ascii="Times New Roman" w:eastAsia="Times New Roman" w:hAnsi="Times New Roman" w:cs="Times New Roman"/>
              </w:rPr>
              <w:t xml:space="preserve"> Reading Academic Articles slides; de Araujo (2011); Annotation instructions</w:t>
            </w:r>
          </w:p>
          <w:p w14:paraId="77390F2C" w14:textId="77777777" w:rsidR="002E56C2" w:rsidRDefault="00141A1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60"/>
              </w:tabs>
              <w:ind w:left="180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handouts:</w:t>
            </w:r>
            <w:r>
              <w:rPr>
                <w:rFonts w:ascii="Times New Roman" w:eastAsia="Times New Roman" w:hAnsi="Times New Roman" w:cs="Times New Roman"/>
              </w:rPr>
              <w:t xml:space="preserve"> Rhetorical Elements Defined (color)</w:t>
            </w:r>
          </w:p>
          <w:p w14:paraId="6307FB4D" w14:textId="77777777" w:rsidR="002E56C2" w:rsidRDefault="002E56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60"/>
              </w:tabs>
              <w:ind w:left="1080"/>
              <w:rPr>
                <w:rFonts w:ascii="Times New Roman" w:eastAsia="Times New Roman" w:hAnsi="Times New Roman" w:cs="Times New Roman"/>
              </w:rPr>
            </w:pPr>
          </w:p>
          <w:p w14:paraId="44409D9A" w14:textId="77777777" w:rsidR="002E56C2" w:rsidRDefault="002E56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60"/>
              </w:tabs>
              <w:ind w:left="18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EAF49C" w14:textId="77777777" w:rsidR="002E56C2" w:rsidRDefault="002E56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60"/>
              </w:tabs>
              <w:ind w:left="1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A7FB6F0" w14:textId="77777777" w:rsidR="002E56C2" w:rsidRDefault="002E56C2">
      <w:pPr>
        <w:tabs>
          <w:tab w:val="right" w:pos="9360"/>
        </w:tabs>
        <w:spacing w:after="0"/>
        <w:rPr>
          <w:rFonts w:ascii="Times New Roman" w:eastAsia="Times New Roman" w:hAnsi="Times New Roman" w:cs="Times New Roman"/>
        </w:rPr>
      </w:pPr>
    </w:p>
    <w:p w14:paraId="5099DF84" w14:textId="77777777" w:rsidR="002E56C2" w:rsidRDefault="00141A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Class 1 Activities:</w:t>
      </w:r>
    </w:p>
    <w:p w14:paraId="3A20ABFC" w14:textId="77777777" w:rsidR="002E56C2" w:rsidRDefault="00141A1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CC0000"/>
        </w:rPr>
      </w:pPr>
      <w:r>
        <w:rPr>
          <w:rFonts w:ascii="Times New Roman" w:eastAsia="Times New Roman" w:hAnsi="Times New Roman" w:cs="Times New Roman"/>
          <w:b/>
        </w:rPr>
        <w:t xml:space="preserve">Reading Academic Articles (slide) </w:t>
      </w:r>
      <w:r>
        <w:rPr>
          <w:rFonts w:ascii="Times New Roman" w:eastAsia="Times New Roman" w:hAnsi="Times New Roman" w:cs="Times New Roman"/>
          <w:color w:val="CC0000"/>
        </w:rPr>
        <w:t xml:space="preserve">(50 mins) </w:t>
      </w:r>
    </w:p>
    <w:p w14:paraId="1272C501" w14:textId="77777777" w:rsidR="002E56C2" w:rsidRDefault="00141A14">
      <w:pPr>
        <w:numPr>
          <w:ilvl w:val="0"/>
          <w:numId w:val="5"/>
        </w:numPr>
        <w:spacing w:after="0"/>
        <w:ind w:left="720"/>
        <w:rPr>
          <w:rFonts w:ascii="Times New Roman" w:eastAsia="Times New Roman" w:hAnsi="Times New Roman" w:cs="Times New Roman"/>
        </w:rPr>
      </w:pPr>
      <w:bookmarkStart w:id="1" w:name="_b0q37vioownj" w:colFirst="0" w:colLast="0"/>
      <w:bookmarkEnd w:id="1"/>
      <w:r>
        <w:rPr>
          <w:rFonts w:ascii="Times New Roman" w:eastAsia="Times New Roman" w:hAnsi="Times New Roman" w:cs="Times New Roman"/>
        </w:rPr>
        <w:t>Step 1: know your purpose (Annotating for EAP - introduce first annotation assignment)</w:t>
      </w:r>
    </w:p>
    <w:p w14:paraId="57FC84C3" w14:textId="77777777" w:rsidR="002E56C2" w:rsidRDefault="00141A14">
      <w:pPr>
        <w:numPr>
          <w:ilvl w:val="0"/>
          <w:numId w:val="5"/>
        </w:numPr>
        <w:spacing w:after="0"/>
        <w:ind w:left="720"/>
        <w:rPr>
          <w:rFonts w:ascii="Times New Roman" w:eastAsia="Times New Roman" w:hAnsi="Times New Roman" w:cs="Times New Roman"/>
        </w:rPr>
      </w:pPr>
      <w:bookmarkStart w:id="2" w:name="_51a8ncpsfgfn" w:colFirst="0" w:colLast="0"/>
      <w:bookmarkEnd w:id="2"/>
      <w:r>
        <w:rPr>
          <w:rFonts w:ascii="Times New Roman" w:eastAsia="Times New Roman" w:hAnsi="Times New Roman" w:cs="Times New Roman"/>
        </w:rPr>
        <w:t>Step 2: Understand what you are reading:</w:t>
      </w:r>
    </w:p>
    <w:p w14:paraId="0D7E1F09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Download &amp; open de Araujo (2011) in Adobe Reader. </w:t>
      </w:r>
    </w:p>
    <w:p w14:paraId="3A7948DA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In pairs: </w:t>
      </w:r>
    </w:p>
    <w:p w14:paraId="59ECAFF5" w14:textId="77777777" w:rsidR="002E56C2" w:rsidRDefault="00141A14">
      <w:pPr>
        <w:widowControl w:val="0"/>
        <w:numPr>
          <w:ilvl w:val="2"/>
          <w:numId w:val="5"/>
        </w:numPr>
        <w:spacing w:after="0"/>
        <w:ind w:left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scholarly book or article</w:t>
      </w:r>
    </w:p>
    <w:p w14:paraId="68271EE5" w14:textId="77777777" w:rsidR="002E56C2" w:rsidRDefault="00141A14">
      <w:pPr>
        <w:widowControl w:val="0"/>
        <w:numPr>
          <w:ilvl w:val="2"/>
          <w:numId w:val="5"/>
        </w:numPr>
        <w:spacing w:after="0"/>
        <w:ind w:left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textbook</w:t>
      </w:r>
    </w:p>
    <w:p w14:paraId="3FD92FAD" w14:textId="77777777" w:rsidR="002E56C2" w:rsidRDefault="00141A14">
      <w:pPr>
        <w:widowControl w:val="0"/>
        <w:numPr>
          <w:ilvl w:val="2"/>
          <w:numId w:val="5"/>
        </w:numPr>
        <w:spacing w:after="0"/>
        <w:ind w:left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paper from a trade journal</w:t>
      </w:r>
    </w:p>
    <w:p w14:paraId="0A06DCB0" w14:textId="77777777" w:rsidR="002E56C2" w:rsidRDefault="00141A14">
      <w:pPr>
        <w:widowControl w:val="0"/>
        <w:numPr>
          <w:ilvl w:val="2"/>
          <w:numId w:val="5"/>
        </w:numPr>
        <w:spacing w:after="0"/>
        <w:ind w:left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 news article</w:t>
      </w:r>
    </w:p>
    <w:p w14:paraId="444D0170" w14:textId="77777777" w:rsidR="002E56C2" w:rsidRDefault="00141A14">
      <w:pPr>
        <w:widowControl w:val="0"/>
        <w:numPr>
          <w:ilvl w:val="2"/>
          <w:numId w:val="5"/>
        </w:numPr>
        <w:spacing w:after="0"/>
        <w:ind w:left="144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something</w:t>
      </w:r>
      <w:proofErr w:type="gramEnd"/>
      <w:r>
        <w:rPr>
          <w:rFonts w:ascii="Times New Roman" w:eastAsia="Times New Roman" w:hAnsi="Times New Roman" w:cs="Times New Roman"/>
        </w:rPr>
        <w:t xml:space="preserve"> else?</w:t>
      </w:r>
    </w:p>
    <w:p w14:paraId="593CF3B0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Take a look at the institution/organization that published it. What do you know about it?</w:t>
      </w:r>
    </w:p>
    <w:p w14:paraId="125D8427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Look at the author’s names. Who are they?</w:t>
      </w:r>
    </w:p>
    <w:p w14:paraId="28A37E26" w14:textId="77777777" w:rsidR="002E56C2" w:rsidRDefault="00141A14">
      <w:pPr>
        <w:widowControl w:val="0"/>
        <w:numPr>
          <w:ilvl w:val="0"/>
          <w:numId w:val="5"/>
        </w:numPr>
        <w:spacing w:after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Individually:</w:t>
      </w:r>
      <w:r>
        <w:rPr>
          <w:rFonts w:ascii="Times New Roman" w:eastAsia="Times New Roman" w:hAnsi="Times New Roman" w:cs="Times New Roman"/>
        </w:rPr>
        <w:t xml:space="preserve"> (Step 2 continued): Read abstract, introduction, a</w:t>
      </w:r>
      <w:r>
        <w:rPr>
          <w:rFonts w:ascii="Times New Roman" w:eastAsia="Times New Roman" w:hAnsi="Times New Roman" w:cs="Times New Roman"/>
        </w:rPr>
        <w:t>nd conclusion</w:t>
      </w:r>
    </w:p>
    <w:p w14:paraId="232B3134" w14:textId="77777777" w:rsidR="002E56C2" w:rsidRDefault="00141A14">
      <w:pPr>
        <w:widowControl w:val="0"/>
        <w:numPr>
          <w:ilvl w:val="0"/>
          <w:numId w:val="5"/>
        </w:numPr>
        <w:spacing w:after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In pairs:</w:t>
      </w:r>
      <w:r>
        <w:rPr>
          <w:rFonts w:ascii="Times New Roman" w:eastAsia="Times New Roman" w:hAnsi="Times New Roman" w:cs="Times New Roman"/>
        </w:rPr>
        <w:t xml:space="preserve"> </w:t>
      </w:r>
    </w:p>
    <w:p w14:paraId="4B0B509C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is this article about? </w:t>
      </w:r>
    </w:p>
    <w:p w14:paraId="0C205DC5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What clues do you see that this is a review of the literature?</w:t>
      </w:r>
    </w:p>
    <w:p w14:paraId="50BA1406" w14:textId="77777777" w:rsidR="002E56C2" w:rsidRDefault="00141A14">
      <w:pPr>
        <w:widowControl w:val="0"/>
        <w:spacing w:after="0"/>
        <w:ind w:left="108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</w:t>
      </w:r>
      <w:proofErr w:type="gramStart"/>
      <w:r>
        <w:rPr>
          <w:rFonts w:ascii="Times New Roman" w:eastAsia="Times New Roman" w:hAnsi="Times New Roman" w:cs="Times New Roman"/>
          <w:i/>
        </w:rPr>
        <w:t>things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you may see in the title: “review of the literature” or “literature review” or “meta-analysis” or “research synthesis”)</w:t>
      </w:r>
    </w:p>
    <w:p w14:paraId="0D9F12A2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kinds </w:t>
      </w:r>
      <w:r>
        <w:rPr>
          <w:rFonts w:ascii="Times New Roman" w:eastAsia="Times New Roman" w:hAnsi="Times New Roman" w:cs="Times New Roman"/>
        </w:rPr>
        <w:t>of details do you expect to find when you read the article closely?</w:t>
      </w:r>
    </w:p>
    <w:p w14:paraId="2A9A8C45" w14:textId="77777777" w:rsidR="002E56C2" w:rsidRDefault="00141A14">
      <w:pPr>
        <w:widowControl w:val="0"/>
        <w:numPr>
          <w:ilvl w:val="0"/>
          <w:numId w:val="5"/>
        </w:numPr>
        <w:spacing w:after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Individually:</w:t>
      </w:r>
      <w:r>
        <w:rPr>
          <w:rFonts w:ascii="Times New Roman" w:eastAsia="Times New Roman" w:hAnsi="Times New Roman" w:cs="Times New Roman"/>
        </w:rPr>
        <w:t xml:space="preserve"> (Step 3): Read abstract, introduction, first sentence of every paragraph, and conclusion</w:t>
      </w:r>
    </w:p>
    <w:p w14:paraId="06040E7C" w14:textId="77777777" w:rsidR="002E56C2" w:rsidRDefault="00141A14">
      <w:pPr>
        <w:widowControl w:val="0"/>
        <w:numPr>
          <w:ilvl w:val="0"/>
          <w:numId w:val="5"/>
        </w:numPr>
        <w:spacing w:after="0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In pairs:</w:t>
      </w:r>
      <w:r>
        <w:rPr>
          <w:rFonts w:ascii="Times New Roman" w:eastAsia="Times New Roman" w:hAnsi="Times New Roman" w:cs="Times New Roman"/>
        </w:rPr>
        <w:t xml:space="preserve"> Can you answer these questions more clearly/ differently?</w:t>
      </w:r>
    </w:p>
    <w:p w14:paraId="64AC4F3C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What is this arti</w:t>
      </w:r>
      <w:r>
        <w:rPr>
          <w:rFonts w:ascii="Times New Roman" w:eastAsia="Times New Roman" w:hAnsi="Times New Roman" w:cs="Times New Roman"/>
        </w:rPr>
        <w:t xml:space="preserve">cle about? </w:t>
      </w:r>
    </w:p>
    <w:p w14:paraId="4168A6BC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What clues do you see that this is a review of the literature?</w:t>
      </w:r>
    </w:p>
    <w:p w14:paraId="66D15063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What kinds of details do you expect to find when you read the article closely?</w:t>
      </w:r>
    </w:p>
    <w:p w14:paraId="0705DADB" w14:textId="77777777" w:rsidR="002E56C2" w:rsidRDefault="00141A14">
      <w:pPr>
        <w:widowControl w:val="0"/>
        <w:numPr>
          <w:ilvl w:val="1"/>
          <w:numId w:val="5"/>
        </w:numPr>
        <w:spacing w:after="0"/>
        <w:ind w:left="108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What are the three most important words/concepts you might need to look up in order to understand this article? </w:t>
      </w:r>
    </w:p>
    <w:p w14:paraId="06A9C4D3" w14:textId="77777777" w:rsidR="002E56C2" w:rsidRDefault="00141A14">
      <w:pPr>
        <w:widowControl w:val="0"/>
        <w:numPr>
          <w:ilvl w:val="0"/>
          <w:numId w:val="5"/>
        </w:numPr>
        <w:spacing w:after="0"/>
        <w:ind w:left="72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Large group:</w:t>
      </w:r>
      <w:r>
        <w:rPr>
          <w:rFonts w:ascii="Times New Roman" w:eastAsia="Times New Roman" w:hAnsi="Times New Roman" w:cs="Times New Roman"/>
        </w:rPr>
        <w:t xml:space="preserve"> Harvest responses: what do they understand about the article? What did they learn about the reading process?</w:t>
      </w:r>
    </w:p>
    <w:p w14:paraId="39F08E25" w14:textId="77777777" w:rsidR="002E56C2" w:rsidRDefault="00141A14">
      <w:pPr>
        <w:widowControl w:val="0"/>
        <w:spacing w:after="0"/>
        <w:ind w:left="720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Reinforce:</w:t>
      </w:r>
      <w:r>
        <w:rPr>
          <w:rFonts w:ascii="Times New Roman" w:eastAsia="Times New Roman" w:hAnsi="Times New Roman" w:cs="Times New Roman"/>
        </w:rPr>
        <w:t xml:space="preserve"> </w:t>
      </w:r>
    </w:p>
    <w:p w14:paraId="5C8A03D2" w14:textId="77777777" w:rsidR="002E56C2" w:rsidRDefault="00141A14">
      <w:pPr>
        <w:widowControl w:val="0"/>
        <w:numPr>
          <w:ilvl w:val="1"/>
          <w:numId w:val="3"/>
        </w:numPr>
        <w:spacing w:after="0"/>
        <w:ind w:left="10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repetition</w:t>
      </w:r>
    </w:p>
    <w:p w14:paraId="35C17C16" w14:textId="77777777" w:rsidR="002E56C2" w:rsidRDefault="00141A14">
      <w:pPr>
        <w:widowControl w:val="0"/>
        <w:numPr>
          <w:ilvl w:val="1"/>
          <w:numId w:val="3"/>
        </w:numPr>
        <w:spacing w:after="0"/>
        <w:ind w:left="10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don’t get stuck when you don’t understand the language or concepts</w:t>
      </w:r>
    </w:p>
    <w:p w14:paraId="5AC227F0" w14:textId="77777777" w:rsidR="002E56C2" w:rsidRDefault="002E56C2">
      <w:pPr>
        <w:spacing w:after="0"/>
        <w:ind w:left="360"/>
        <w:rPr>
          <w:rFonts w:ascii="Times New Roman" w:eastAsia="Times New Roman" w:hAnsi="Times New Roman" w:cs="Times New Roman"/>
        </w:rPr>
      </w:pPr>
    </w:p>
    <w:p w14:paraId="65831B1F" w14:textId="77777777" w:rsidR="002E56C2" w:rsidRDefault="00141A14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Homework due before Class 2:</w:t>
      </w:r>
    </w:p>
    <w:p w14:paraId="71B4548B" w14:textId="77777777" w:rsidR="002E56C2" w:rsidRDefault="00141A14">
      <w:pPr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Read</w:t>
      </w:r>
      <w:r>
        <w:rPr>
          <w:rFonts w:ascii="Times New Roman" w:eastAsia="Times New Roman" w:hAnsi="Times New Roman" w:cs="Times New Roman"/>
        </w:rPr>
        <w:t xml:space="preserve"> Annotation Instructions</w:t>
      </w:r>
    </w:p>
    <w:p w14:paraId="2E1C41FF" w14:textId="77777777" w:rsidR="002E56C2" w:rsidRDefault="00141A14">
      <w:pPr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Read (only, don’t annotate) </w:t>
      </w:r>
      <w:r>
        <w:rPr>
          <w:rFonts w:ascii="Times New Roman" w:eastAsia="Times New Roman" w:hAnsi="Times New Roman" w:cs="Times New Roman"/>
        </w:rPr>
        <w:t xml:space="preserve">de Araujo (2011) </w:t>
      </w:r>
    </w:p>
    <w:p w14:paraId="0D1CA3E3" w14:textId="77777777" w:rsidR="002E56C2" w:rsidRDefault="002E56C2">
      <w:pPr>
        <w:spacing w:after="0"/>
        <w:rPr>
          <w:rFonts w:ascii="Times New Roman" w:eastAsia="Times New Roman" w:hAnsi="Times New Roman" w:cs="Times New Roman"/>
        </w:rPr>
      </w:pPr>
    </w:p>
    <w:p w14:paraId="1EC8038C" w14:textId="77777777" w:rsidR="002E56C2" w:rsidRDefault="00141A1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Class 2 Activities:</w:t>
      </w:r>
    </w:p>
    <w:p w14:paraId="7A3CE1A8" w14:textId="77777777" w:rsidR="002E56C2" w:rsidRDefault="00141A14">
      <w:pPr>
        <w:numPr>
          <w:ilvl w:val="0"/>
          <w:numId w:val="1"/>
        </w:numPr>
        <w:spacing w:after="0"/>
        <w:ind w:left="360"/>
        <w:rPr>
          <w:rFonts w:ascii="Times New Roman" w:eastAsia="Times New Roman" w:hAnsi="Times New Roman" w:cs="Times New Roman"/>
          <w:b/>
        </w:rPr>
      </w:pPr>
      <w:bookmarkStart w:id="3" w:name="_5qvr15hhf8bm" w:colFirst="0" w:colLast="0"/>
      <w:bookmarkEnd w:id="3"/>
      <w:r>
        <w:rPr>
          <w:rFonts w:ascii="Times New Roman" w:eastAsia="Times New Roman" w:hAnsi="Times New Roman" w:cs="Times New Roman"/>
          <w:b/>
        </w:rPr>
        <w:t>Discuss de Araujo (2011) (</w:t>
      </w:r>
      <w:r>
        <w:rPr>
          <w:rFonts w:ascii="Times New Roman" w:eastAsia="Times New Roman" w:hAnsi="Times New Roman" w:cs="Times New Roman"/>
          <w:b/>
          <w:color w:val="FF0000"/>
        </w:rPr>
        <w:t>30</w:t>
      </w:r>
      <w:r>
        <w:rPr>
          <w:rFonts w:ascii="Times New Roman" w:eastAsia="Times New Roman" w:hAnsi="Times New Roman" w:cs="Times New Roman"/>
          <w:color w:val="FF0000"/>
        </w:rPr>
        <w:t xml:space="preserve"> minutes</w:t>
      </w:r>
      <w:r>
        <w:rPr>
          <w:rFonts w:ascii="Times New Roman" w:eastAsia="Times New Roman" w:hAnsi="Times New Roman" w:cs="Times New Roman"/>
        </w:rPr>
        <w:t>)</w:t>
      </w:r>
    </w:p>
    <w:p w14:paraId="0CA9D508" w14:textId="77777777" w:rsidR="002E56C2" w:rsidRDefault="00141A14">
      <w:pPr>
        <w:numPr>
          <w:ilvl w:val="0"/>
          <w:numId w:val="4"/>
        </w:numPr>
        <w:spacing w:after="0" w:line="288" w:lineRule="auto"/>
        <w:contextualSpacing/>
        <w:rPr>
          <w:rFonts w:ascii="Times New Roman" w:eastAsia="Times New Roman" w:hAnsi="Times New Roman" w:cs="Times New Roman"/>
        </w:rPr>
      </w:pPr>
      <w:bookmarkStart w:id="4" w:name="_vp9jbyn4hqlc" w:colFirst="0" w:colLast="0"/>
      <w:bookmarkEnd w:id="4"/>
      <w:r>
        <w:rPr>
          <w:rFonts w:ascii="Times New Roman" w:eastAsia="Times New Roman" w:hAnsi="Times New Roman" w:cs="Times New Roman"/>
          <w:i/>
        </w:rPr>
        <w:t>Individually: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Write in your notebooks for 5 minutes about a place in the article that pulled you in and a place that pushed you out</w:t>
      </w:r>
    </w:p>
    <w:p w14:paraId="6A5E5611" w14:textId="77777777" w:rsidR="002E56C2" w:rsidRDefault="00141A14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</w:rPr>
      </w:pPr>
      <w:bookmarkStart w:id="5" w:name="_mvljxjc1zx30" w:colFirst="0" w:colLast="0"/>
      <w:bookmarkEnd w:id="5"/>
      <w:r>
        <w:rPr>
          <w:rFonts w:ascii="Times New Roman" w:eastAsia="Times New Roman" w:hAnsi="Times New Roman" w:cs="Times New Roman"/>
          <w:i/>
        </w:rPr>
        <w:t xml:space="preserve">Large Group: </w:t>
      </w:r>
      <w:r>
        <w:rPr>
          <w:rFonts w:ascii="Times New Roman" w:eastAsia="Times New Roman" w:hAnsi="Times New Roman" w:cs="Times New Roman"/>
        </w:rPr>
        <w:t>discussion (with article on screen)</w:t>
      </w:r>
    </w:p>
    <w:p w14:paraId="4018B2ED" w14:textId="77777777" w:rsidR="002E56C2" w:rsidRDefault="00141A14">
      <w:pPr>
        <w:numPr>
          <w:ilvl w:val="0"/>
          <w:numId w:val="1"/>
        </w:numPr>
        <w:spacing w:after="0"/>
        <w:ind w:left="360"/>
        <w:rPr>
          <w:rFonts w:ascii="Times New Roman" w:eastAsia="Times New Roman" w:hAnsi="Times New Roman" w:cs="Times New Roman"/>
          <w:b/>
        </w:rPr>
      </w:pPr>
      <w:bookmarkStart w:id="6" w:name="_c8e0hqbfc8rx" w:colFirst="0" w:colLast="0"/>
      <w:bookmarkEnd w:id="6"/>
      <w:r>
        <w:rPr>
          <w:rFonts w:ascii="Times New Roman" w:eastAsia="Times New Roman" w:hAnsi="Times New Roman" w:cs="Times New Roman"/>
          <w:b/>
        </w:rPr>
        <w:t>Annotating Rhetorical Elements (</w:t>
      </w:r>
      <w:r>
        <w:rPr>
          <w:rFonts w:ascii="Times New Roman" w:eastAsia="Times New Roman" w:hAnsi="Times New Roman" w:cs="Times New Roman"/>
          <w:b/>
          <w:color w:val="FF0000"/>
        </w:rPr>
        <w:t>50</w:t>
      </w:r>
      <w:r>
        <w:rPr>
          <w:rFonts w:ascii="Times New Roman" w:eastAsia="Times New Roman" w:hAnsi="Times New Roman" w:cs="Times New Roman"/>
          <w:color w:val="FF0000"/>
        </w:rPr>
        <w:t xml:space="preserve"> minutes</w:t>
      </w:r>
      <w:r>
        <w:rPr>
          <w:rFonts w:ascii="Times New Roman" w:eastAsia="Times New Roman" w:hAnsi="Times New Roman" w:cs="Times New Roman"/>
        </w:rPr>
        <w:t>)</w:t>
      </w:r>
    </w:p>
    <w:p w14:paraId="0E950564" w14:textId="77777777" w:rsidR="002E56C2" w:rsidRDefault="00141A14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</w:rPr>
      </w:pPr>
      <w:bookmarkStart w:id="7" w:name="_xljabl6igb9e" w:colFirst="0" w:colLast="0"/>
      <w:bookmarkEnd w:id="7"/>
      <w:r>
        <w:rPr>
          <w:rFonts w:ascii="Times New Roman" w:eastAsia="Times New Roman" w:hAnsi="Times New Roman" w:cs="Times New Roman"/>
          <w:i/>
        </w:rPr>
        <w:t>Small groups:</w:t>
      </w:r>
      <w:r>
        <w:rPr>
          <w:rFonts w:ascii="Times New Roman" w:eastAsia="Times New Roman" w:hAnsi="Times New Roman" w:cs="Times New Roman"/>
        </w:rPr>
        <w:t xml:space="preserve"> find examples of Rhetorical Ele</w:t>
      </w:r>
      <w:r>
        <w:rPr>
          <w:rFonts w:ascii="Times New Roman" w:eastAsia="Times New Roman" w:hAnsi="Times New Roman" w:cs="Times New Roman"/>
        </w:rPr>
        <w:t>ments and language clues in de Araujo (1 RE per group) - note page # and paragraph in notebook</w:t>
      </w:r>
    </w:p>
    <w:p w14:paraId="05FC9843" w14:textId="77777777" w:rsidR="002E56C2" w:rsidRDefault="00141A14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</w:rPr>
      </w:pPr>
      <w:bookmarkStart w:id="8" w:name="_ekuoj9cfbcc1" w:colFirst="0" w:colLast="0"/>
      <w:bookmarkEnd w:id="8"/>
      <w:r>
        <w:rPr>
          <w:rFonts w:ascii="Times New Roman" w:eastAsia="Times New Roman" w:hAnsi="Times New Roman" w:cs="Times New Roman"/>
          <w:i/>
        </w:rPr>
        <w:t xml:space="preserve">Large group: </w:t>
      </w:r>
      <w:r>
        <w:rPr>
          <w:rFonts w:ascii="Times New Roman" w:eastAsia="Times New Roman" w:hAnsi="Times New Roman" w:cs="Times New Roman"/>
        </w:rPr>
        <w:t>report back; instructors model annotating in Adobe Acrobat Reader on screen</w:t>
      </w:r>
    </w:p>
    <w:p w14:paraId="4669E807" w14:textId="77777777" w:rsidR="002E56C2" w:rsidRDefault="002E56C2">
      <w:pPr>
        <w:spacing w:after="0"/>
        <w:ind w:left="360"/>
        <w:rPr>
          <w:rFonts w:ascii="Times New Roman" w:eastAsia="Times New Roman" w:hAnsi="Times New Roman" w:cs="Times New Roman"/>
        </w:rPr>
      </w:pPr>
    </w:p>
    <w:p w14:paraId="67F73C64" w14:textId="77777777" w:rsidR="002E56C2" w:rsidRDefault="00141A14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Homework </w:t>
      </w:r>
    </w:p>
    <w:p w14:paraId="12D4BF18" w14:textId="77777777" w:rsidR="002E56C2" w:rsidRDefault="00141A14">
      <w:pPr>
        <w:numPr>
          <w:ilvl w:val="0"/>
          <w:numId w:val="8"/>
        </w:numPr>
        <w:spacing w:after="0"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Read &amp; </w:t>
      </w:r>
      <w:r>
        <w:rPr>
          <w:rFonts w:ascii="Times New Roman" w:eastAsia="Times New Roman" w:hAnsi="Times New Roman" w:cs="Times New Roman"/>
          <w:i/>
          <w:u w:val="single"/>
        </w:rPr>
        <w:t>annotate</w:t>
      </w:r>
      <w:r>
        <w:rPr>
          <w:rFonts w:ascii="Times New Roman" w:eastAsia="Times New Roman" w:hAnsi="Times New Roman" w:cs="Times New Roman"/>
        </w:rPr>
        <w:t xml:space="preserve"> de Araujo (2011)</w:t>
      </w:r>
    </w:p>
    <w:p w14:paraId="06B3AB61" w14:textId="77777777" w:rsidR="002E56C2" w:rsidRDefault="002E56C2">
      <w:pPr>
        <w:spacing w:after="0"/>
        <w:rPr>
          <w:rFonts w:ascii="Times New Roman" w:eastAsia="Times New Roman" w:hAnsi="Times New Roman" w:cs="Times New Roman"/>
        </w:rPr>
      </w:pPr>
    </w:p>
    <w:p w14:paraId="35C2496F" w14:textId="77777777" w:rsidR="002E56C2" w:rsidRDefault="002E56C2">
      <w:pPr>
        <w:spacing w:after="0"/>
        <w:ind w:left="720"/>
        <w:rPr>
          <w:rFonts w:ascii="Times New Roman" w:eastAsia="Times New Roman" w:hAnsi="Times New Roman" w:cs="Times New Roman"/>
        </w:rPr>
      </w:pPr>
    </w:p>
    <w:sectPr w:rsidR="002E56C2">
      <w:pgSz w:w="11900" w:h="16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A35F2"/>
    <w:multiLevelType w:val="multilevel"/>
    <w:tmpl w:val="83F24B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AA975DB"/>
    <w:multiLevelType w:val="multilevel"/>
    <w:tmpl w:val="5442E3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E0A2AE9"/>
    <w:multiLevelType w:val="multilevel"/>
    <w:tmpl w:val="B25E4DB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5C5739C2"/>
    <w:multiLevelType w:val="multilevel"/>
    <w:tmpl w:val="FE42DE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3951212"/>
    <w:multiLevelType w:val="multilevel"/>
    <w:tmpl w:val="D58E28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7C7B8A"/>
    <w:multiLevelType w:val="multilevel"/>
    <w:tmpl w:val="78249578"/>
    <w:lvl w:ilvl="0">
      <w:start w:val="1"/>
      <w:numFmt w:val="bullet"/>
      <w:lvlText w:val="●"/>
      <w:lvlJc w:val="left"/>
      <w:pPr>
        <w:ind w:left="1080" w:hanging="360"/>
      </w:pPr>
      <w:rPr>
        <w:rFonts w:ascii="Arial" w:eastAsia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 w15:restartNumberingAfterBreak="0">
    <w:nsid w:val="729922DB"/>
    <w:multiLevelType w:val="multilevel"/>
    <w:tmpl w:val="AA1EED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41D56F2"/>
    <w:multiLevelType w:val="multilevel"/>
    <w:tmpl w:val="8DF46F4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C2"/>
    <w:rsid w:val="00141A14"/>
    <w:rsid w:val="002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8CC6"/>
  <w15:docId w15:val="{8075DE74-3A25-49CB-A80C-96961F82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2397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P Doetsch-Kidder</dc:creator>
  <cp:lastModifiedBy>Sharon P Doetsch-Kidder</cp:lastModifiedBy>
  <cp:revision>2</cp:revision>
  <dcterms:created xsi:type="dcterms:W3CDTF">2018-09-07T20:21:00Z</dcterms:created>
  <dcterms:modified xsi:type="dcterms:W3CDTF">2018-09-07T20:21:00Z</dcterms:modified>
</cp:coreProperties>
</file>